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n3j2su1g1sfh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RONPA0395ZPB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Plaiul Domnesc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4,74%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4"/>
        <w:gridCol w:w="5398"/>
        <w:tblGridChange w:id="0">
          <w:tblGrid>
            <w:gridCol w:w="3158"/>
            <w:gridCol w:w="444"/>
            <w:gridCol w:w="53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Dâmbovița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7"/>
        <w:gridCol w:w="47"/>
        <w:gridCol w:w="3007"/>
        <w:gridCol w:w="47"/>
        <w:gridCol w:w="2962"/>
        <w:tblGridChange w:id="0">
          <w:tblGrid>
            <w:gridCol w:w="2937"/>
            <w:gridCol w:w="47"/>
            <w:gridCol w:w="3007"/>
            <w:gridCol w:w="47"/>
            <w:gridCol w:w="2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92,53%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7,47%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1,77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ulterioare: rezervația naturală RONPA0395 Plaiul Domnesc.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62"/>
        <w:gridCol w:w="4538"/>
        <w:tblGridChange w:id="0">
          <w:tblGrid>
            <w:gridCol w:w="4462"/>
            <w:gridCol w:w="45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ggqp829htem0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C., Iancu I. 1977. Statiuni forestiere, Vol. II, , Ed. Academiei R.S.R., București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Beldie, A. 1977. Ecologie forestieră: (cu elemente de ecologie generală). Ed. Ceres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Donita N., Popescu A., Pauca-Comanescu M., Mihailescu S., Biris I. 2005. Habitatele din Romania”, Ed. Tehnica Silvica, București</w:t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Gafta D., Mountford J.O. 2008. Manual de interpretare a habitatelor Natura 2000 din Romania, Ed. RISOPRINT, editor M.M.D.D. 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ibprnt7cpvo8" w:id="2"/>
      <w:bookmarkEnd w:id="2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10 februarie 2025 – Târgoviște, jud. Dâmbovița, 18 februarie 2025 – corespondență DS Dâmbovița.</w:t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18 decembrie 2025 cu participarea factorilor interesați relevanți județului Dâmbovița.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sunt disponibile în format digital: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1cHtF6yOAs8H9/8NrFnyinidTw==">CgMxLjAyDmgubjNqMnN1MWcxc2ZoMg5oLmdncXA4MjlodGVtMDIOaC5pYnBybnQ3Y3B2bzg4AHIhMWtmeDJheENPNVJPM3NoY2MzOTNITGw2V1NHU0M4ZFlB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